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18.1 -->
  <w:body>
    <w:p>
      <w:pPr>
        <w:numPr>
          <w:ilvl w:val="0"/>
          <w:numId w:val="1"/>
        </w:numPr>
        <w:ind w:left="720" w:hanging="242"/>
        <w:jc w:val="left"/>
      </w:pPr>
      <w:r>
        <w:fldChar w:fldCharType="begin"/>
      </w:r>
      <w:r>
        <w:instrText xml:space="preserve"> HYPERLINK \l "2" </w:instrText>
      </w:r>
      <w:r>
        <w:fldChar w:fldCharType="separate"/>
      </w:r>
      <w:r>
        <w:rPr>
          <w:color w:val="0000EE"/>
          <w:u w:val="single" w:color="0000EE"/>
        </w:rPr>
        <w:t>總館空間改造工程起跑 ／ 典藏閱覽組</w:t>
      </w:r>
      <w:r>
        <w:rPr>
          <w:color w:val="0000EE"/>
          <w:u w:val="single" w:color="0000EE"/>
        </w:rPr>
        <w:fldChar w:fldCharType="end"/>
      </w:r>
    </w:p>
    <w:p>
      <w:pPr>
        <w:numPr>
          <w:ilvl w:val="0"/>
          <w:numId w:val="1"/>
        </w:numPr>
        <w:ind w:left="720" w:hanging="242"/>
        <w:jc w:val="left"/>
      </w:pPr>
      <w:r>
        <w:fldChar w:fldCharType="begin"/>
      </w:r>
      <w:r>
        <w:instrText xml:space="preserve"> HYPERLINK \l "3" </w:instrText>
      </w:r>
      <w:r>
        <w:fldChar w:fldCharType="separate"/>
      </w:r>
      <w:r>
        <w:rPr>
          <w:color w:val="0000EE"/>
          <w:u w:val="single" w:color="0000EE"/>
        </w:rPr>
        <w:t>2019師大閱讀節：莫「明」奇妙 ／ 推廣諮詢組</w:t>
      </w:r>
      <w:r>
        <w:rPr>
          <w:color w:val="0000EE"/>
          <w:u w:val="single" w:color="0000EE"/>
        </w:rPr>
        <w:fldChar w:fldCharType="end"/>
      </w:r>
    </w:p>
    <w:p>
      <w:pPr>
        <w:numPr>
          <w:ilvl w:val="0"/>
          <w:numId w:val="1"/>
        </w:numPr>
        <w:ind w:left="720" w:hanging="242"/>
        <w:jc w:val="left"/>
      </w:pPr>
      <w:r>
        <w:fldChar w:fldCharType="begin"/>
      </w:r>
      <w:r>
        <w:instrText xml:space="preserve"> HYPERLINK \l "4" </w:instrText>
      </w:r>
      <w:r>
        <w:fldChar w:fldCharType="separate"/>
      </w:r>
      <w:r>
        <w:rPr>
          <w:color w:val="0000EE"/>
          <w:u w:val="single" w:color="0000EE"/>
        </w:rPr>
        <w:t>明朝不e樣：電子書推廣活動 ／ 推廣諮詢組</w:t>
      </w:r>
      <w:r>
        <w:rPr>
          <w:color w:val="0000EE"/>
          <w:u w:val="single" w:color="0000EE"/>
        </w:rPr>
        <w:fldChar w:fldCharType="end"/>
      </w:r>
    </w:p>
    <w:p>
      <w:pPr>
        <w:numPr>
          <w:ilvl w:val="0"/>
          <w:numId w:val="1"/>
        </w:numPr>
        <w:ind w:left="720" w:hanging="242"/>
        <w:jc w:val="left"/>
      </w:pPr>
      <w:r>
        <w:fldChar w:fldCharType="begin"/>
      </w:r>
      <w:r>
        <w:instrText xml:space="preserve"> HYPERLINK \l "5" </w:instrText>
      </w:r>
      <w:r>
        <w:fldChar w:fldCharType="separate"/>
      </w:r>
      <w:r>
        <w:rPr>
          <w:color w:val="0000EE"/>
          <w:u w:val="single" w:color="0000EE"/>
        </w:rPr>
        <w:t>明槧寶光─師大館藏明代善本古籍特展暨明代文獻學學術研討會 ／ 校史特藏組</w:t>
      </w:r>
      <w:r>
        <w:rPr>
          <w:color w:val="0000EE"/>
          <w:u w:val="single" w:color="0000EE"/>
        </w:rPr>
        <w:fldChar w:fldCharType="end"/>
      </w:r>
    </w:p>
    <w:p>
      <w:pPr>
        <w:numPr>
          <w:ilvl w:val="0"/>
          <w:numId w:val="1"/>
        </w:numPr>
        <w:ind w:left="720" w:hanging="242"/>
        <w:jc w:val="left"/>
      </w:pPr>
      <w:r>
        <w:fldChar w:fldCharType="begin"/>
      </w:r>
      <w:r>
        <w:instrText xml:space="preserve"> HYPERLINK \l "6" </w:instrText>
      </w:r>
      <w:r>
        <w:fldChar w:fldCharType="separate"/>
      </w:r>
      <w:r>
        <w:rPr>
          <w:color w:val="0000EE"/>
          <w:u w:val="single" w:color="0000EE"/>
        </w:rPr>
        <w:t>新書上架：盧炎音樂檔案 ／ 出版中心</w:t>
      </w:r>
      <w:r>
        <w:rPr>
          <w:color w:val="0000EE"/>
          <w:u w:val="single" w:color="0000EE"/>
        </w:rPr>
        <w:fldChar w:fldCharType="end"/>
      </w:r>
    </w:p>
    <w:p>
      <w:pPr>
        <w:numPr>
          <w:ilvl w:val="0"/>
          <w:numId w:val="1"/>
        </w:numPr>
        <w:ind w:left="720" w:hanging="242"/>
        <w:jc w:val="left"/>
      </w:pPr>
      <w:r>
        <w:fldChar w:fldCharType="begin"/>
      </w:r>
      <w:r>
        <w:instrText xml:space="preserve"> HYPERLINK \l "7" </w:instrText>
      </w:r>
      <w:r>
        <w:fldChar w:fldCharType="separate"/>
      </w:r>
      <w:r>
        <w:rPr>
          <w:color w:val="0000EE"/>
          <w:u w:val="single" w:color="0000EE"/>
        </w:rPr>
        <w:t>師大話茶禮盒 ／ 出版中心</w:t>
      </w:r>
      <w:r>
        <w:rPr>
          <w:color w:val="0000EE"/>
          <w:u w:val="single" w:color="0000EE"/>
        </w:rPr>
        <w:fldChar w:fldCharType="end"/>
      </w:r>
    </w:p>
    <w:p>
      <w:pPr>
        <w:numPr>
          <w:ilvl w:val="0"/>
          <w:numId w:val="1"/>
        </w:numPr>
        <w:spacing w:after="240"/>
        <w:ind w:left="720" w:hanging="242"/>
        <w:jc w:val="left"/>
      </w:pPr>
      <w:r>
        <w:fldChar w:fldCharType="begin"/>
      </w:r>
      <w:r>
        <w:instrText xml:space="preserve"> HYPERLINK \l "8" </w:instrText>
      </w:r>
      <w:r>
        <w:fldChar w:fldCharType="separate"/>
      </w:r>
      <w:r>
        <w:rPr>
          <w:color w:val="0000EE"/>
          <w:u w:val="single" w:color="0000EE"/>
        </w:rPr>
        <w:t>【林口分館】「英語攻略─學習方法傳授講座」活動報導 ／ 林口分館</w:t>
      </w:r>
      <w:r>
        <w:rPr>
          <w:color w:val="0000EE"/>
          <w:u w:val="single" w:color="0000EE"/>
        </w:rPr>
        <w:fldChar w:fldCharType="end"/>
      </w:r>
    </w:p>
    <w:p>
      <w:pPr>
        <w:pStyle w:val="Heading2"/>
        <w:keepNext w:val="0"/>
        <w:spacing w:before="299" w:after="299"/>
        <w:outlineLvl w:val="9"/>
        <w:rPr>
          <w:b/>
          <w:bCs/>
          <w:sz w:val="36"/>
          <w:szCs w:val="36"/>
        </w:rPr>
      </w:pPr>
      <w:bookmarkStart w:id="0" w:name="2"/>
      <w:r>
        <w:rPr>
          <w:rFonts w:ascii="Times New Roman" w:eastAsia="Times New Roman" w:hAnsi="Times New Roman" w:cs="Times New Roman"/>
          <w:i w:val="0"/>
          <w:iCs w:val="0"/>
        </w:rPr>
        <w:t>總館空間改造工程起跑</w:t>
      </w:r>
    </w:p>
    <w:p/>
    <w:p>
      <w:pPr>
        <w:spacing w:before="240" w:after="240"/>
        <w:jc w:val="right"/>
      </w:pPr>
      <w:r>
        <w:t>典藏閱覽組</w:t>
      </w:r>
    </w:p>
    <w:p>
      <w:pPr>
        <w:spacing w:before="240" w:after="240"/>
      </w:pPr>
      <w:r>
        <w:t> </w:t>
      </w:r>
    </w:p>
    <w:p>
      <w:pPr>
        <w:spacing w:before="240" w:after="240"/>
      </w:pPr>
      <w:r>
        <w:t>圖書館一樓及三樓空間改造工程自11月12日開始，配合工程進行，館內的服務、資源配置及空間動線做了大幅度調整，請讀者依指示進行，並勿隨意進入施工區域，以免造成危險。為提供讀者安靜閱讀空間，B1普通閱覽室全天候開放使用。相關公告請參見空間改造工程網頁。</w:t>
      </w:r>
      <w:bookmarkEnd w:id="0"/>
      <w:r>
        <w:fldChar w:fldCharType="begin"/>
      </w:r>
      <w:r>
        <w:instrText xml:space="preserve"> HYPERLINK "http://www.lib.ntnu.edu.tw/renovation.jsp" </w:instrText>
      </w:r>
      <w:r>
        <w:fldChar w:fldCharType="separate"/>
      </w:r>
      <w:r>
        <w:rPr>
          <w:color w:val="0000EE"/>
          <w:u w:val="single" w:color="0000EE"/>
        </w:rPr>
        <w:t>http://www.lib.ntnu.edu.tw/renovation.jsp</w:t>
      </w:r>
      <w:r>
        <w:rPr>
          <w:color w:val="0000EE"/>
          <w:u w:val="single" w:color="0000EE"/>
        </w:rPr>
        <w:fldChar w:fldCharType="end"/>
      </w:r>
    </w:p>
    <w:p>
      <w:pPr>
        <w:spacing w:before="240" w:after="240"/>
      </w:pPr>
      <w:r>
        <w:t>本工程每日施工時間為8:00-17:00，預訂完工日期為109.03.10。工程進行期間，難免有工程噪音，請多包涵。施工期間將每周於圖書館網站及圖書館粉絲專頁上公告本周施工區域及受影響範圍，提醒同學注意，請多利用B1普通閱覽室或向櫃檯索取口罩或耳塞。如有任何問題，請隨時與服務櫃台反應。</w:t>
      </w:r>
    </w:p>
    <w:p>
      <w:pPr>
        <w:spacing w:before="240" w:after="240"/>
      </w:pPr>
      <w:r>
        <w:t>施工期間部分服務項目調整如下：</w:t>
      </w:r>
    </w:p>
    <w:tbl>
      <w:tblPr>
        <w:tblW w:w="0" w:type="dxa"/>
        <w:tblCellSpacing w:w="0" w:type="dxa"/>
        <w:tblInd w:w="16" w:type="dxa"/>
        <w:tblBorders>
          <w:top w:val="outset" w:sz="6" w:space="0" w:color="808080"/>
          <w:left w:val="outset" w:sz="6" w:space="0" w:color="808080"/>
          <w:bottom w:val="outset" w:sz="6" w:space="0" w:color="808080"/>
          <w:right w:val="outset" w:sz="6" w:space="0" w:color="808080"/>
        </w:tblBorders>
        <w:tblCellMar>
          <w:top w:w="0" w:type="dxa"/>
          <w:left w:w="0" w:type="dxa"/>
          <w:bottom w:w="0" w:type="dxa"/>
          <w:right w:w="0" w:type="dxa"/>
        </w:tblCellMar>
      </w:tblPr>
      <w:tblGrid>
        <w:gridCol w:w="1382"/>
        <w:gridCol w:w="7561"/>
      </w:tblGrid>
      <w:tr>
        <w:tblPrEx>
          <w:tblW w:w="0" w:type="dxa"/>
          <w:tblCellSpacing w:w="0" w:type="dxa"/>
          <w:tblInd w:w="16" w:type="dxa"/>
          <w:tblBorders>
            <w:top w:val="outset" w:sz="6" w:space="0" w:color="808080"/>
            <w:left w:val="outset" w:sz="6" w:space="0" w:color="808080"/>
            <w:bottom w:val="outset" w:sz="6" w:space="0" w:color="808080"/>
            <w:right w:val="outset" w:sz="6" w:space="0" w:color="808080"/>
          </w:tblBorders>
          <w:tblCellMar>
            <w:top w:w="0" w:type="dxa"/>
            <w:left w:w="0" w:type="dxa"/>
            <w:bottom w:w="0" w:type="dxa"/>
            <w:right w:w="0" w:type="dxa"/>
          </w:tblCellMar>
        </w:tblPrEx>
        <w:trPr>
          <w:tblCellSpacing w:w="0" w:type="dxa"/>
        </w:trPr>
        <w:tc>
          <w:tcPr>
            <w:tcBorders>
              <w:top w:val="inset" w:sz="6" w:space="0" w:color="808080"/>
              <w:left w:val="inset" w:sz="6" w:space="0" w:color="808080"/>
              <w:bottom w:val="inset" w:sz="6" w:space="0" w:color="808080"/>
              <w:right w:val="inset" w:sz="6" w:space="0" w:color="808080"/>
            </w:tcBorders>
            <w:noWrap w:val="0"/>
            <w:tcMar>
              <w:top w:w="8" w:type="dxa"/>
              <w:left w:w="8" w:type="dxa"/>
              <w:bottom w:w="8" w:type="dxa"/>
              <w:right w:w="8" w:type="dxa"/>
            </w:tcMar>
            <w:vAlign w:val="top"/>
          </w:tcPr>
          <w:p>
            <w:pPr>
              <w:rPr>
                <w:b w:val="0"/>
                <w:bCs w:val="0"/>
                <w:i w:val="0"/>
                <w:iCs w:val="0"/>
                <w:smallCaps w:val="0"/>
                <w:color w:val="000000"/>
              </w:rPr>
            </w:pPr>
            <w:r>
              <w:rPr>
                <w:b/>
                <w:bCs/>
                <w:i w:val="0"/>
                <w:iCs w:val="0"/>
                <w:smallCaps w:val="0"/>
                <w:color w:val="000000"/>
              </w:rPr>
              <w:t>服務項目</w:t>
            </w:r>
          </w:p>
        </w:tc>
        <w:tc>
          <w:tcPr>
            <w:tcW w:w="7545" w:type="dxa"/>
            <w:tcBorders>
              <w:top w:val="inset" w:sz="6" w:space="0" w:color="808080"/>
              <w:left w:val="inset" w:sz="6" w:space="0" w:color="808080"/>
              <w:bottom w:val="inset" w:sz="6" w:space="0" w:color="808080"/>
              <w:right w:val="inset" w:sz="6" w:space="0" w:color="808080"/>
            </w:tcBorders>
            <w:noWrap w:val="0"/>
            <w:tcMar>
              <w:top w:w="8" w:type="dxa"/>
              <w:left w:w="8" w:type="dxa"/>
              <w:bottom w:w="8" w:type="dxa"/>
              <w:right w:w="8" w:type="dxa"/>
            </w:tcMar>
            <w:vAlign w:val="top"/>
          </w:tcPr>
          <w:p>
            <w:pPr>
              <w:rPr>
                <w:b w:val="0"/>
                <w:bCs w:val="0"/>
                <w:i w:val="0"/>
                <w:iCs w:val="0"/>
                <w:smallCaps w:val="0"/>
                <w:color w:val="000000"/>
              </w:rPr>
            </w:pPr>
            <w:r>
              <w:rPr>
                <w:b/>
                <w:bCs/>
                <w:i w:val="0"/>
                <w:iCs w:val="0"/>
                <w:smallCaps w:val="0"/>
                <w:color w:val="000000"/>
              </w:rPr>
              <w:t>新的館藏地或服務方式</w:t>
            </w:r>
          </w:p>
        </w:tc>
      </w:tr>
      <w:tr>
        <w:tblPrEx>
          <w:tblW w:w="0" w:type="dxa"/>
          <w:tblCellSpacing w:w="0" w:type="dxa"/>
          <w:tblInd w:w="16" w:type="dxa"/>
          <w:tblCellMar>
            <w:top w:w="0" w:type="dxa"/>
            <w:left w:w="0" w:type="dxa"/>
            <w:bottom w:w="0" w:type="dxa"/>
            <w:right w:w="0" w:type="dxa"/>
          </w:tblCellMar>
        </w:tblPrEx>
        <w:trPr>
          <w:tblCellSpacing w:w="0" w:type="dxa"/>
        </w:trPr>
        <w:tc>
          <w:tcPr>
            <w:tcBorders>
              <w:top w:val="inset" w:sz="6" w:space="0" w:color="808080"/>
              <w:left w:val="inset" w:sz="6" w:space="0" w:color="808080"/>
              <w:bottom w:val="inset" w:sz="6" w:space="0" w:color="808080"/>
              <w:right w:val="inset" w:sz="6" w:space="0" w:color="808080"/>
            </w:tcBorders>
            <w:noWrap w:val="0"/>
            <w:tcMar>
              <w:top w:w="8" w:type="dxa"/>
              <w:left w:w="8" w:type="dxa"/>
              <w:bottom w:w="8" w:type="dxa"/>
              <w:right w:w="8" w:type="dxa"/>
            </w:tcMar>
            <w:vAlign w:val="top"/>
          </w:tcPr>
          <w:p>
            <w:pPr>
              <w:rPr>
                <w:b w:val="0"/>
                <w:bCs w:val="0"/>
                <w:i w:val="0"/>
                <w:iCs w:val="0"/>
                <w:smallCaps w:val="0"/>
                <w:color w:val="000000"/>
              </w:rPr>
            </w:pPr>
            <w:r>
              <w:rPr>
                <w:b w:val="0"/>
                <w:bCs w:val="0"/>
                <w:i w:val="0"/>
                <w:iCs w:val="0"/>
                <w:smallCaps w:val="0"/>
                <w:color w:val="000000"/>
              </w:rPr>
              <w:t>現期期刊</w:t>
            </w:r>
          </w:p>
        </w:tc>
        <w:tc>
          <w:tcPr>
            <w:tcW w:w="7545" w:type="dxa"/>
            <w:tcBorders>
              <w:top w:val="inset" w:sz="6" w:space="0" w:color="808080"/>
              <w:left w:val="inset" w:sz="6" w:space="0" w:color="808080"/>
              <w:bottom w:val="inset" w:sz="6" w:space="0" w:color="808080"/>
              <w:right w:val="inset" w:sz="6" w:space="0" w:color="808080"/>
            </w:tcBorders>
            <w:noWrap w:val="0"/>
            <w:tcMar>
              <w:top w:w="8" w:type="dxa"/>
              <w:left w:w="8" w:type="dxa"/>
              <w:bottom w:w="8" w:type="dxa"/>
              <w:right w:w="8" w:type="dxa"/>
            </w:tcMar>
            <w:vAlign w:val="top"/>
          </w:tcPr>
          <w:p>
            <w:pPr>
              <w:rPr>
                <w:b w:val="0"/>
                <w:bCs w:val="0"/>
                <w:i w:val="0"/>
                <w:iCs w:val="0"/>
                <w:smallCaps w:val="0"/>
                <w:color w:val="000000"/>
              </w:rPr>
            </w:pPr>
            <w:r>
              <w:rPr>
                <w:b w:val="0"/>
                <w:bCs w:val="0"/>
                <w:i w:val="0"/>
                <w:iCs w:val="0"/>
                <w:smallCaps w:val="0"/>
                <w:color w:val="000000"/>
              </w:rPr>
              <w:t>最新一期現刊放置於二樓電梯口書架</w:t>
            </w:r>
            <w:r>
              <w:rPr>
                <w:b w:val="0"/>
                <w:bCs w:val="0"/>
                <w:i w:val="0"/>
                <w:iCs w:val="0"/>
                <w:smallCaps w:val="0"/>
                <w:color w:val="000000"/>
              </w:rPr>
              <w:br/>
            </w:r>
            <w:r>
              <w:rPr>
                <w:b w:val="0"/>
                <w:bCs w:val="0"/>
                <w:i w:val="0"/>
                <w:iCs w:val="0"/>
                <w:smallCaps w:val="0"/>
                <w:color w:val="000000"/>
              </w:rPr>
              <w:t>今年度過期期刊不開放調閱</w:t>
            </w:r>
          </w:p>
        </w:tc>
      </w:tr>
      <w:tr>
        <w:tblPrEx>
          <w:tblW w:w="0" w:type="dxa"/>
          <w:tblCellSpacing w:w="0" w:type="dxa"/>
          <w:tblInd w:w="16" w:type="dxa"/>
          <w:tblCellMar>
            <w:top w:w="0" w:type="dxa"/>
            <w:left w:w="0" w:type="dxa"/>
            <w:bottom w:w="0" w:type="dxa"/>
            <w:right w:w="0" w:type="dxa"/>
          </w:tblCellMar>
        </w:tblPrEx>
        <w:trPr>
          <w:tblCellSpacing w:w="0" w:type="dxa"/>
        </w:trPr>
        <w:tc>
          <w:tcPr>
            <w:tcBorders>
              <w:top w:val="inset" w:sz="6" w:space="0" w:color="808080"/>
              <w:left w:val="inset" w:sz="6" w:space="0" w:color="808080"/>
              <w:bottom w:val="inset" w:sz="6" w:space="0" w:color="808080"/>
              <w:right w:val="inset" w:sz="6" w:space="0" w:color="808080"/>
            </w:tcBorders>
            <w:noWrap w:val="0"/>
            <w:tcMar>
              <w:top w:w="8" w:type="dxa"/>
              <w:left w:w="8" w:type="dxa"/>
              <w:bottom w:w="8" w:type="dxa"/>
              <w:right w:w="8" w:type="dxa"/>
            </w:tcMar>
            <w:vAlign w:val="top"/>
          </w:tcPr>
          <w:p>
            <w:pPr>
              <w:rPr>
                <w:b w:val="0"/>
                <w:bCs w:val="0"/>
                <w:i w:val="0"/>
                <w:iCs w:val="0"/>
                <w:smallCaps w:val="0"/>
                <w:color w:val="000000"/>
              </w:rPr>
            </w:pPr>
            <w:r>
              <w:rPr>
                <w:b w:val="0"/>
                <w:bCs w:val="0"/>
                <w:i w:val="0"/>
                <w:iCs w:val="0"/>
                <w:smallCaps w:val="0"/>
                <w:color w:val="000000"/>
              </w:rPr>
              <w:t>過期期刊</w:t>
            </w:r>
          </w:p>
        </w:tc>
        <w:tc>
          <w:tcPr>
            <w:tcW w:w="7545" w:type="dxa"/>
            <w:tcBorders>
              <w:top w:val="inset" w:sz="6" w:space="0" w:color="808080"/>
              <w:left w:val="inset" w:sz="6" w:space="0" w:color="808080"/>
              <w:bottom w:val="inset" w:sz="6" w:space="0" w:color="808080"/>
              <w:right w:val="inset" w:sz="6" w:space="0" w:color="808080"/>
            </w:tcBorders>
            <w:noWrap w:val="0"/>
            <w:tcMar>
              <w:top w:w="8" w:type="dxa"/>
              <w:left w:w="8" w:type="dxa"/>
              <w:bottom w:w="8" w:type="dxa"/>
              <w:right w:w="8" w:type="dxa"/>
            </w:tcMar>
            <w:vAlign w:val="top"/>
          </w:tcPr>
          <w:p>
            <w:pPr>
              <w:rPr>
                <w:b w:val="0"/>
                <w:bCs w:val="0"/>
                <w:i w:val="0"/>
                <w:iCs w:val="0"/>
                <w:smallCaps w:val="0"/>
                <w:color w:val="000000"/>
              </w:rPr>
            </w:pPr>
            <w:r>
              <w:rPr>
                <w:b w:val="0"/>
                <w:bCs w:val="0"/>
                <w:i w:val="0"/>
                <w:iCs w:val="0"/>
                <w:smallCaps w:val="0"/>
                <w:color w:val="000000"/>
              </w:rPr>
              <w:t>移至閉架書庫典藏，以線上調閱方式服務。</w:t>
            </w:r>
            <w:r>
              <w:rPr>
                <w:b w:val="0"/>
                <w:bCs w:val="0"/>
                <w:i w:val="0"/>
                <w:iCs w:val="0"/>
                <w:smallCaps w:val="0"/>
                <w:color w:val="000000"/>
              </w:rPr>
              <w:br/>
            </w:r>
            <w:r>
              <w:rPr>
                <w:b w:val="0"/>
                <w:bCs w:val="0"/>
                <w:i w:val="0"/>
                <w:iCs w:val="0"/>
                <w:smallCaps w:val="0"/>
                <w:color w:val="000000"/>
              </w:rPr>
              <w:t>已完成清點期刊可開放調閱。</w:t>
            </w:r>
          </w:p>
        </w:tc>
      </w:tr>
      <w:tr>
        <w:tblPrEx>
          <w:tblW w:w="0" w:type="dxa"/>
          <w:tblCellSpacing w:w="0" w:type="dxa"/>
          <w:tblInd w:w="16" w:type="dxa"/>
          <w:tblCellMar>
            <w:top w:w="0" w:type="dxa"/>
            <w:left w:w="0" w:type="dxa"/>
            <w:bottom w:w="0" w:type="dxa"/>
            <w:right w:w="0" w:type="dxa"/>
          </w:tblCellMar>
        </w:tblPrEx>
        <w:trPr>
          <w:tblCellSpacing w:w="0" w:type="dxa"/>
        </w:trPr>
        <w:tc>
          <w:tcPr>
            <w:tcBorders>
              <w:top w:val="inset" w:sz="6" w:space="0" w:color="808080"/>
              <w:left w:val="inset" w:sz="6" w:space="0" w:color="808080"/>
              <w:bottom w:val="inset" w:sz="6" w:space="0" w:color="808080"/>
              <w:right w:val="inset" w:sz="6" w:space="0" w:color="808080"/>
            </w:tcBorders>
            <w:noWrap w:val="0"/>
            <w:tcMar>
              <w:top w:w="8" w:type="dxa"/>
              <w:left w:w="8" w:type="dxa"/>
              <w:bottom w:w="8" w:type="dxa"/>
              <w:right w:w="8" w:type="dxa"/>
            </w:tcMar>
            <w:vAlign w:val="top"/>
          </w:tcPr>
          <w:p>
            <w:pPr>
              <w:rPr>
                <w:b w:val="0"/>
                <w:bCs w:val="0"/>
                <w:i w:val="0"/>
                <w:iCs w:val="0"/>
                <w:smallCaps w:val="0"/>
                <w:color w:val="000000"/>
              </w:rPr>
            </w:pPr>
            <w:r>
              <w:rPr>
                <w:b w:val="0"/>
                <w:bCs w:val="0"/>
                <w:i w:val="0"/>
                <w:iCs w:val="0"/>
                <w:smallCaps w:val="0"/>
                <w:color w:val="000000"/>
              </w:rPr>
              <w:t>影印區</w:t>
            </w:r>
          </w:p>
        </w:tc>
        <w:tc>
          <w:tcPr>
            <w:tcW w:w="7545" w:type="dxa"/>
            <w:tcBorders>
              <w:top w:val="inset" w:sz="6" w:space="0" w:color="808080"/>
              <w:left w:val="inset" w:sz="6" w:space="0" w:color="808080"/>
              <w:bottom w:val="inset" w:sz="6" w:space="0" w:color="808080"/>
              <w:right w:val="inset" w:sz="6" w:space="0" w:color="808080"/>
            </w:tcBorders>
            <w:noWrap w:val="0"/>
            <w:tcMar>
              <w:top w:w="8" w:type="dxa"/>
              <w:left w:w="8" w:type="dxa"/>
              <w:bottom w:w="8" w:type="dxa"/>
              <w:right w:w="8" w:type="dxa"/>
            </w:tcMar>
            <w:vAlign w:val="top"/>
          </w:tcPr>
          <w:p>
            <w:pPr>
              <w:rPr>
                <w:b w:val="0"/>
                <w:bCs w:val="0"/>
                <w:i w:val="0"/>
                <w:iCs w:val="0"/>
                <w:smallCaps w:val="0"/>
                <w:color w:val="000000"/>
              </w:rPr>
            </w:pPr>
            <w:r>
              <w:rPr>
                <w:b w:val="0"/>
                <w:bCs w:val="0"/>
                <w:i w:val="0"/>
                <w:iCs w:val="0"/>
                <w:smallCaps w:val="0"/>
                <w:color w:val="000000"/>
              </w:rPr>
              <w:t>請多利用二樓影印/列印機 (彩色/黑白各一)</w:t>
            </w:r>
          </w:p>
        </w:tc>
      </w:tr>
      <w:tr>
        <w:tblPrEx>
          <w:tblW w:w="0" w:type="dxa"/>
          <w:tblCellSpacing w:w="0" w:type="dxa"/>
          <w:tblInd w:w="16" w:type="dxa"/>
          <w:tblCellMar>
            <w:top w:w="0" w:type="dxa"/>
            <w:left w:w="0" w:type="dxa"/>
            <w:bottom w:w="0" w:type="dxa"/>
            <w:right w:w="0" w:type="dxa"/>
          </w:tblCellMar>
        </w:tblPrEx>
        <w:trPr>
          <w:tblCellSpacing w:w="0" w:type="dxa"/>
        </w:trPr>
        <w:tc>
          <w:tcPr>
            <w:tcBorders>
              <w:top w:val="inset" w:sz="6" w:space="0" w:color="808080"/>
              <w:left w:val="inset" w:sz="6" w:space="0" w:color="808080"/>
              <w:bottom w:val="inset" w:sz="6" w:space="0" w:color="808080"/>
              <w:right w:val="inset" w:sz="6" w:space="0" w:color="808080"/>
            </w:tcBorders>
            <w:noWrap w:val="0"/>
            <w:tcMar>
              <w:top w:w="8" w:type="dxa"/>
              <w:left w:w="8" w:type="dxa"/>
              <w:bottom w:w="8" w:type="dxa"/>
              <w:right w:w="8" w:type="dxa"/>
            </w:tcMar>
            <w:vAlign w:val="top"/>
          </w:tcPr>
          <w:p>
            <w:pPr>
              <w:rPr>
                <w:b w:val="0"/>
                <w:bCs w:val="0"/>
                <w:i w:val="0"/>
                <w:iCs w:val="0"/>
                <w:smallCaps w:val="0"/>
                <w:color w:val="000000"/>
              </w:rPr>
            </w:pPr>
            <w:r>
              <w:rPr>
                <w:b w:val="0"/>
                <w:bCs w:val="0"/>
                <w:i w:val="0"/>
                <w:iCs w:val="0"/>
                <w:smallCaps w:val="0"/>
                <w:color w:val="000000"/>
              </w:rPr>
              <w:t>自習區</w:t>
            </w:r>
          </w:p>
        </w:tc>
        <w:tc>
          <w:tcPr>
            <w:tcW w:w="7545" w:type="dxa"/>
            <w:tcBorders>
              <w:top w:val="inset" w:sz="6" w:space="0" w:color="808080"/>
              <w:left w:val="inset" w:sz="6" w:space="0" w:color="808080"/>
              <w:bottom w:val="inset" w:sz="6" w:space="0" w:color="808080"/>
              <w:right w:val="inset" w:sz="6" w:space="0" w:color="808080"/>
            </w:tcBorders>
            <w:noWrap w:val="0"/>
            <w:tcMar>
              <w:top w:w="8" w:type="dxa"/>
              <w:left w:w="8" w:type="dxa"/>
              <w:bottom w:w="8" w:type="dxa"/>
              <w:right w:w="8" w:type="dxa"/>
            </w:tcMar>
            <w:vAlign w:val="top"/>
          </w:tcPr>
          <w:p>
            <w:pPr>
              <w:spacing w:after="240"/>
              <w:rPr>
                <w:b w:val="0"/>
                <w:bCs w:val="0"/>
                <w:i w:val="0"/>
                <w:iCs w:val="0"/>
                <w:smallCaps w:val="0"/>
                <w:color w:val="000000"/>
              </w:rPr>
            </w:pPr>
            <w:r>
              <w:rPr>
                <w:b w:val="0"/>
                <w:bCs w:val="0"/>
                <w:i w:val="0"/>
                <w:iCs w:val="0"/>
                <w:smallCaps w:val="0"/>
                <w:color w:val="000000"/>
              </w:rPr>
              <w:t>開放B1普通閱覽室非外借場地時段提供本校師生自習</w:t>
            </w:r>
            <w:r>
              <w:rPr>
                <w:b w:val="0"/>
                <w:bCs w:val="0"/>
                <w:i w:val="0"/>
                <w:iCs w:val="0"/>
                <w:smallCaps w:val="0"/>
                <w:color w:val="000000"/>
              </w:rPr>
              <w:br/>
            </w:r>
            <w:r>
              <w:rPr>
                <w:b w:val="0"/>
                <w:bCs w:val="0"/>
                <w:i w:val="0"/>
                <w:iCs w:val="0"/>
                <w:smallCaps w:val="0"/>
                <w:color w:val="000000"/>
              </w:rPr>
              <w:t>請讀者刷卡入館，並遵守普通閱覽室使用規則。</w:t>
            </w:r>
          </w:p>
          <w:p>
            <w:pPr>
              <w:spacing w:before="240" w:after="240"/>
              <w:rPr>
                <w:b w:val="0"/>
                <w:bCs w:val="0"/>
                <w:i w:val="0"/>
                <w:iCs w:val="0"/>
                <w:smallCaps w:val="0"/>
                <w:color w:val="000000"/>
              </w:rPr>
            </w:pPr>
            <w:r>
              <w:rPr>
                <w:b w:val="0"/>
                <w:bCs w:val="0"/>
                <w:i w:val="0"/>
                <w:iCs w:val="0"/>
                <w:smallCaps w:val="0"/>
                <w:color w:val="000000"/>
              </w:rPr>
              <w:t>[11-12月未開放時段]</w:t>
            </w:r>
          </w:p>
          <w:p>
            <w:pPr>
              <w:spacing w:before="240" w:after="240"/>
              <w:rPr>
                <w:b w:val="0"/>
                <w:bCs w:val="0"/>
                <w:i w:val="0"/>
                <w:iCs w:val="0"/>
                <w:smallCaps w:val="0"/>
                <w:color w:val="000000"/>
              </w:rPr>
            </w:pPr>
            <w:r>
              <w:rPr>
                <w:b w:val="0"/>
                <w:bCs w:val="0"/>
                <w:i w:val="0"/>
                <w:iCs w:val="0"/>
                <w:smallCaps w:val="0"/>
                <w:color w:val="000000"/>
              </w:rPr>
              <w:t>下列日期之當天8:00至18:00</w:t>
            </w:r>
          </w:p>
          <w:p>
            <w:pPr>
              <w:spacing w:before="240" w:after="240"/>
              <w:rPr>
                <w:b w:val="0"/>
                <w:bCs w:val="0"/>
                <w:i w:val="0"/>
                <w:iCs w:val="0"/>
                <w:smallCaps w:val="0"/>
                <w:color w:val="000000"/>
              </w:rPr>
            </w:pPr>
            <w:r>
              <w:rPr>
                <w:b w:val="0"/>
                <w:bCs w:val="0"/>
                <w:i w:val="0"/>
                <w:iCs w:val="0"/>
                <w:smallCaps w:val="0"/>
                <w:color w:val="000000"/>
              </w:rPr>
              <w:t>11/28-11/30 ,12/2-12/6 ,12/14 ,12/22 ,12/26</w:t>
            </w:r>
          </w:p>
          <w:p>
            <w:pPr>
              <w:spacing w:before="240" w:after="240"/>
              <w:rPr>
                <w:b w:val="0"/>
                <w:bCs w:val="0"/>
                <w:i w:val="0"/>
                <w:iCs w:val="0"/>
                <w:smallCaps w:val="0"/>
                <w:color w:val="000000"/>
              </w:rPr>
            </w:pPr>
            <w:r>
              <w:rPr>
                <w:b w:val="0"/>
                <w:bCs w:val="0"/>
                <w:i w:val="0"/>
                <w:iCs w:val="0"/>
                <w:smallCaps w:val="0"/>
                <w:color w:val="000000"/>
              </w:rPr>
              <w:t>12/9 14:00-17:00</w:t>
            </w:r>
          </w:p>
          <w:p>
            <w:pPr>
              <w:spacing w:before="240"/>
              <w:rPr>
                <w:b w:val="0"/>
                <w:bCs w:val="0"/>
                <w:i w:val="0"/>
                <w:iCs w:val="0"/>
                <w:smallCaps w:val="0"/>
                <w:color w:val="000000"/>
              </w:rPr>
            </w:pPr>
            <w:r>
              <w:rPr>
                <w:b w:val="0"/>
                <w:bCs w:val="0"/>
                <w:i w:val="0"/>
                <w:iCs w:val="0"/>
                <w:smallCaps w:val="0"/>
                <w:color w:val="000000"/>
              </w:rPr>
              <w:t>12/12及12/17 17:00-21:00(含國際會議廳外自修區)</w:t>
            </w:r>
          </w:p>
        </w:tc>
      </w:tr>
      <w:tr>
        <w:tblPrEx>
          <w:tblW w:w="0" w:type="dxa"/>
          <w:tblCellSpacing w:w="0" w:type="dxa"/>
          <w:tblInd w:w="16" w:type="dxa"/>
          <w:tblCellMar>
            <w:top w:w="0" w:type="dxa"/>
            <w:left w:w="0" w:type="dxa"/>
            <w:bottom w:w="0" w:type="dxa"/>
            <w:right w:w="0" w:type="dxa"/>
          </w:tblCellMar>
        </w:tblPrEx>
        <w:trPr>
          <w:tblCellSpacing w:w="0" w:type="dxa"/>
        </w:trPr>
        <w:tc>
          <w:tcPr>
            <w:tcBorders>
              <w:top w:val="inset" w:sz="6" w:space="0" w:color="808080"/>
              <w:left w:val="inset" w:sz="6" w:space="0" w:color="808080"/>
              <w:bottom w:val="inset" w:sz="6" w:space="0" w:color="808080"/>
              <w:right w:val="inset" w:sz="6" w:space="0" w:color="808080"/>
            </w:tcBorders>
            <w:noWrap w:val="0"/>
            <w:tcMar>
              <w:top w:w="8" w:type="dxa"/>
              <w:left w:w="8" w:type="dxa"/>
              <w:bottom w:w="8" w:type="dxa"/>
              <w:right w:w="8" w:type="dxa"/>
            </w:tcMar>
            <w:vAlign w:val="top"/>
          </w:tcPr>
          <w:p>
            <w:pPr>
              <w:rPr>
                <w:b w:val="0"/>
                <w:bCs w:val="0"/>
                <w:i w:val="0"/>
                <w:iCs w:val="0"/>
                <w:smallCaps w:val="0"/>
                <w:color w:val="000000"/>
              </w:rPr>
            </w:pPr>
            <w:r>
              <w:rPr>
                <w:b w:val="0"/>
                <w:bCs w:val="0"/>
                <w:i w:val="0"/>
                <w:iCs w:val="0"/>
                <w:smallCaps w:val="0"/>
                <w:color w:val="000000"/>
              </w:rPr>
              <w:t>禮品區</w:t>
            </w:r>
          </w:p>
        </w:tc>
        <w:tc>
          <w:tcPr>
            <w:tcW w:w="7545" w:type="dxa"/>
            <w:tcBorders>
              <w:top w:val="inset" w:sz="6" w:space="0" w:color="808080"/>
              <w:left w:val="inset" w:sz="6" w:space="0" w:color="808080"/>
              <w:bottom w:val="inset" w:sz="6" w:space="0" w:color="808080"/>
              <w:right w:val="inset" w:sz="6" w:space="0" w:color="808080"/>
            </w:tcBorders>
            <w:noWrap w:val="0"/>
            <w:tcMar>
              <w:top w:w="8" w:type="dxa"/>
              <w:left w:w="8" w:type="dxa"/>
              <w:bottom w:w="8" w:type="dxa"/>
              <w:right w:w="8" w:type="dxa"/>
            </w:tcMar>
            <w:vAlign w:val="top"/>
          </w:tcPr>
          <w:p>
            <w:pPr>
              <w:rPr>
                <w:b w:val="0"/>
                <w:bCs w:val="0"/>
                <w:i w:val="0"/>
                <w:iCs w:val="0"/>
                <w:smallCaps w:val="0"/>
                <w:color w:val="000000"/>
              </w:rPr>
            </w:pPr>
            <w:r>
              <w:rPr>
                <w:b w:val="0"/>
                <w:bCs w:val="0"/>
                <w:i w:val="0"/>
                <w:iCs w:val="0"/>
                <w:smallCaps w:val="0"/>
                <w:color w:val="000000"/>
              </w:rPr>
              <w:t>請洽文薈廳禮品區購買或線上洽購</w:t>
            </w:r>
            <w:r>
              <w:rPr>
                <w:b w:val="0"/>
                <w:bCs w:val="0"/>
                <w:i w:val="0"/>
                <w:iCs w:val="0"/>
                <w:smallCaps w:val="0"/>
                <w:color w:val="000000"/>
              </w:rPr>
              <w:br/>
            </w:r>
            <w:r>
              <w:rPr>
                <w:b w:val="0"/>
                <w:bCs w:val="0"/>
                <w:i w:val="0"/>
                <w:iCs w:val="0"/>
                <w:smallCaps w:val="0"/>
                <w:color w:val="000000"/>
              </w:rPr>
              <w:t>禮品線上購買網址：</w:t>
            </w:r>
            <w:r>
              <w:rPr>
                <w:b w:val="0"/>
                <w:bCs w:val="0"/>
                <w:i w:val="0"/>
                <w:iCs w:val="0"/>
                <w:smallCaps w:val="0"/>
                <w:color w:val="000000"/>
              </w:rPr>
              <w:fldChar w:fldCharType="begin"/>
            </w:r>
            <w:r>
              <w:rPr>
                <w:b w:val="0"/>
                <w:bCs w:val="0"/>
                <w:i w:val="0"/>
                <w:iCs w:val="0"/>
                <w:smallCaps w:val="0"/>
                <w:color w:val="000000"/>
              </w:rPr>
              <w:instrText xml:space="preserve"> HYPERLINK "http://eshop.lib.ntnu.edu.tw/" </w:instrText>
            </w:r>
            <w:r>
              <w:rPr>
                <w:b w:val="0"/>
                <w:bCs w:val="0"/>
                <w:i w:val="0"/>
                <w:iCs w:val="0"/>
                <w:smallCaps w:val="0"/>
                <w:color w:val="000000"/>
              </w:rPr>
              <w:fldChar w:fldCharType="separate"/>
            </w:r>
            <w:r>
              <w:rPr>
                <w:b w:val="0"/>
                <w:bCs w:val="0"/>
                <w:i w:val="0"/>
                <w:iCs w:val="0"/>
                <w:smallCaps w:val="0"/>
                <w:color w:val="0000EE"/>
                <w:u w:val="single" w:color="0000EE"/>
              </w:rPr>
              <w:t>http://eshop.lib.ntnu.edu.tw/</w:t>
            </w:r>
            <w:r>
              <w:rPr>
                <w:b w:val="0"/>
                <w:bCs w:val="0"/>
                <w:i w:val="0"/>
                <w:iCs w:val="0"/>
                <w:smallCaps w:val="0"/>
                <w:color w:val="0000EE"/>
                <w:u w:val="single" w:color="0000EE"/>
              </w:rPr>
              <w:fldChar w:fldCharType="end"/>
            </w:r>
          </w:p>
        </w:tc>
      </w:tr>
      <w:tr>
        <w:tblPrEx>
          <w:tblW w:w="0" w:type="dxa"/>
          <w:tblCellSpacing w:w="0" w:type="dxa"/>
          <w:tblInd w:w="16" w:type="dxa"/>
          <w:tblCellMar>
            <w:top w:w="0" w:type="dxa"/>
            <w:left w:w="0" w:type="dxa"/>
            <w:bottom w:w="0" w:type="dxa"/>
            <w:right w:w="0" w:type="dxa"/>
          </w:tblCellMar>
        </w:tblPrEx>
        <w:trPr>
          <w:tblCellSpacing w:w="0" w:type="dxa"/>
        </w:trPr>
        <w:tc>
          <w:tcPr>
            <w:tcBorders>
              <w:top w:val="inset" w:sz="6" w:space="0" w:color="808080"/>
              <w:left w:val="inset" w:sz="6" w:space="0" w:color="808080"/>
              <w:bottom w:val="inset" w:sz="6" w:space="0" w:color="808080"/>
              <w:right w:val="inset" w:sz="6" w:space="0" w:color="808080"/>
            </w:tcBorders>
            <w:noWrap w:val="0"/>
            <w:tcMar>
              <w:top w:w="8" w:type="dxa"/>
              <w:left w:w="8" w:type="dxa"/>
              <w:bottom w:w="8" w:type="dxa"/>
              <w:right w:w="8" w:type="dxa"/>
            </w:tcMar>
            <w:vAlign w:val="top"/>
          </w:tcPr>
          <w:p>
            <w:pPr>
              <w:rPr>
                <w:b w:val="0"/>
                <w:bCs w:val="0"/>
                <w:i w:val="0"/>
                <w:iCs w:val="0"/>
                <w:smallCaps w:val="0"/>
                <w:color w:val="000000"/>
              </w:rPr>
            </w:pPr>
            <w:r>
              <w:rPr>
                <w:b w:val="0"/>
                <w:bCs w:val="0"/>
                <w:i w:val="0"/>
                <w:iCs w:val="0"/>
                <w:smallCaps w:val="0"/>
                <w:color w:val="000000"/>
              </w:rPr>
              <w:t>校史展示區</w:t>
            </w:r>
          </w:p>
        </w:tc>
        <w:tc>
          <w:tcPr>
            <w:tcW w:w="7545" w:type="dxa"/>
            <w:tcBorders>
              <w:top w:val="inset" w:sz="6" w:space="0" w:color="808080"/>
              <w:left w:val="inset" w:sz="6" w:space="0" w:color="808080"/>
              <w:bottom w:val="inset" w:sz="6" w:space="0" w:color="808080"/>
              <w:right w:val="inset" w:sz="6" w:space="0" w:color="808080"/>
            </w:tcBorders>
            <w:noWrap w:val="0"/>
            <w:tcMar>
              <w:top w:w="8" w:type="dxa"/>
              <w:left w:w="8" w:type="dxa"/>
              <w:bottom w:w="8" w:type="dxa"/>
              <w:right w:w="8" w:type="dxa"/>
            </w:tcMar>
            <w:vAlign w:val="top"/>
          </w:tcPr>
          <w:p>
            <w:pPr>
              <w:rPr>
                <w:b w:val="0"/>
                <w:bCs w:val="0"/>
                <w:i w:val="0"/>
                <w:iCs w:val="0"/>
                <w:smallCaps w:val="0"/>
                <w:color w:val="000000"/>
              </w:rPr>
            </w:pPr>
            <w:r>
              <w:rPr>
                <w:b w:val="0"/>
                <w:bCs w:val="0"/>
                <w:i w:val="0"/>
                <w:iCs w:val="0"/>
                <w:smallCaps w:val="0"/>
                <w:color w:val="000000"/>
              </w:rPr>
              <w:t>暫停開放</w:t>
            </w:r>
          </w:p>
        </w:tc>
      </w:tr>
      <w:tr>
        <w:tblPrEx>
          <w:tblW w:w="0" w:type="dxa"/>
          <w:tblCellSpacing w:w="0" w:type="dxa"/>
          <w:tblInd w:w="16" w:type="dxa"/>
          <w:tblCellMar>
            <w:top w:w="0" w:type="dxa"/>
            <w:left w:w="0" w:type="dxa"/>
            <w:bottom w:w="0" w:type="dxa"/>
            <w:right w:w="0" w:type="dxa"/>
          </w:tblCellMar>
        </w:tblPrEx>
        <w:trPr>
          <w:tblCellSpacing w:w="0" w:type="dxa"/>
        </w:trPr>
        <w:tc>
          <w:tcPr>
            <w:tcBorders>
              <w:top w:val="inset" w:sz="6" w:space="0" w:color="808080"/>
              <w:left w:val="inset" w:sz="6" w:space="0" w:color="808080"/>
              <w:bottom w:val="inset" w:sz="6" w:space="0" w:color="808080"/>
              <w:right w:val="inset" w:sz="6" w:space="0" w:color="808080"/>
            </w:tcBorders>
            <w:noWrap w:val="0"/>
            <w:tcMar>
              <w:top w:w="8" w:type="dxa"/>
              <w:left w:w="8" w:type="dxa"/>
              <w:bottom w:w="8" w:type="dxa"/>
              <w:right w:w="8" w:type="dxa"/>
            </w:tcMar>
            <w:vAlign w:val="top"/>
          </w:tcPr>
          <w:p>
            <w:pPr>
              <w:rPr>
                <w:b w:val="0"/>
                <w:bCs w:val="0"/>
                <w:i w:val="0"/>
                <w:iCs w:val="0"/>
                <w:smallCaps w:val="0"/>
                <w:color w:val="000000"/>
              </w:rPr>
            </w:pPr>
            <w:r>
              <w:rPr>
                <w:b w:val="0"/>
                <w:bCs w:val="0"/>
                <w:i w:val="0"/>
                <w:iCs w:val="0"/>
                <w:smallCaps w:val="0"/>
                <w:color w:val="000000"/>
              </w:rPr>
              <w:t>一樓廁所</w:t>
            </w:r>
          </w:p>
        </w:tc>
        <w:tc>
          <w:tcPr>
            <w:tcW w:w="7545" w:type="dxa"/>
            <w:tcBorders>
              <w:top w:val="inset" w:sz="6" w:space="0" w:color="808080"/>
              <w:left w:val="inset" w:sz="6" w:space="0" w:color="808080"/>
              <w:bottom w:val="inset" w:sz="6" w:space="0" w:color="808080"/>
              <w:right w:val="inset" w:sz="6" w:space="0" w:color="808080"/>
            </w:tcBorders>
            <w:noWrap w:val="0"/>
            <w:tcMar>
              <w:top w:w="8" w:type="dxa"/>
              <w:left w:w="8" w:type="dxa"/>
              <w:bottom w:w="8" w:type="dxa"/>
              <w:right w:w="8" w:type="dxa"/>
            </w:tcMar>
            <w:vAlign w:val="top"/>
          </w:tcPr>
          <w:p>
            <w:pPr>
              <w:rPr>
                <w:b w:val="0"/>
                <w:bCs w:val="0"/>
                <w:i w:val="0"/>
                <w:iCs w:val="0"/>
                <w:smallCaps w:val="0"/>
                <w:color w:val="000000"/>
              </w:rPr>
            </w:pPr>
            <w:r>
              <w:rPr>
                <w:b w:val="0"/>
                <w:bCs w:val="0"/>
                <w:i w:val="0"/>
                <w:iCs w:val="0"/>
                <w:smallCaps w:val="0"/>
                <w:color w:val="000000"/>
              </w:rPr>
              <w:t>暫停開放</w:t>
            </w:r>
          </w:p>
        </w:tc>
      </w:tr>
      <w:tr>
        <w:tblPrEx>
          <w:tblW w:w="0" w:type="dxa"/>
          <w:tblCellSpacing w:w="0" w:type="dxa"/>
          <w:tblInd w:w="16" w:type="dxa"/>
          <w:tblCellMar>
            <w:top w:w="0" w:type="dxa"/>
            <w:left w:w="0" w:type="dxa"/>
            <w:bottom w:w="0" w:type="dxa"/>
            <w:right w:w="0" w:type="dxa"/>
          </w:tblCellMar>
        </w:tblPrEx>
        <w:trPr>
          <w:tblCellSpacing w:w="0" w:type="dxa"/>
        </w:trPr>
        <w:tc>
          <w:tcPr>
            <w:tcBorders>
              <w:top w:val="inset" w:sz="6" w:space="0" w:color="808080"/>
              <w:left w:val="inset" w:sz="6" w:space="0" w:color="808080"/>
              <w:bottom w:val="inset" w:sz="6" w:space="0" w:color="808080"/>
              <w:right w:val="inset" w:sz="6" w:space="0" w:color="808080"/>
            </w:tcBorders>
            <w:noWrap w:val="0"/>
            <w:tcMar>
              <w:top w:w="8" w:type="dxa"/>
              <w:left w:w="8" w:type="dxa"/>
              <w:bottom w:w="8" w:type="dxa"/>
              <w:right w:w="8" w:type="dxa"/>
            </w:tcMar>
            <w:vAlign w:val="top"/>
          </w:tcPr>
          <w:p>
            <w:pPr>
              <w:rPr>
                <w:b w:val="0"/>
                <w:bCs w:val="0"/>
                <w:i w:val="0"/>
                <w:iCs w:val="0"/>
                <w:smallCaps w:val="0"/>
                <w:color w:val="000000"/>
              </w:rPr>
            </w:pPr>
            <w:r>
              <w:rPr>
                <w:b w:val="0"/>
                <w:bCs w:val="0"/>
                <w:i w:val="0"/>
                <w:iCs w:val="0"/>
                <w:smallCaps w:val="0"/>
                <w:color w:val="000000"/>
              </w:rPr>
              <w:t>導覽及藝文展覽申請</w:t>
            </w:r>
          </w:p>
        </w:tc>
        <w:tc>
          <w:tcPr>
            <w:tcW w:w="7545" w:type="dxa"/>
            <w:tcBorders>
              <w:top w:val="inset" w:sz="6" w:space="0" w:color="808080"/>
              <w:left w:val="inset" w:sz="6" w:space="0" w:color="808080"/>
              <w:bottom w:val="inset" w:sz="6" w:space="0" w:color="808080"/>
              <w:right w:val="inset" w:sz="6" w:space="0" w:color="808080"/>
            </w:tcBorders>
            <w:noWrap w:val="0"/>
            <w:tcMar>
              <w:top w:w="8" w:type="dxa"/>
              <w:left w:w="8" w:type="dxa"/>
              <w:bottom w:w="8" w:type="dxa"/>
              <w:right w:w="8" w:type="dxa"/>
            </w:tcMar>
            <w:vAlign w:val="top"/>
          </w:tcPr>
          <w:p>
            <w:pPr>
              <w:rPr>
                <w:b w:val="0"/>
                <w:bCs w:val="0"/>
                <w:i w:val="0"/>
                <w:iCs w:val="0"/>
                <w:smallCaps w:val="0"/>
                <w:color w:val="000000"/>
              </w:rPr>
            </w:pPr>
            <w:r>
              <w:rPr>
                <w:b w:val="0"/>
                <w:bCs w:val="0"/>
                <w:i w:val="0"/>
                <w:iCs w:val="0"/>
                <w:smallCaps w:val="0"/>
                <w:color w:val="000000"/>
              </w:rPr>
              <w:t>暫停申請</w:t>
            </w:r>
          </w:p>
        </w:tc>
      </w:tr>
      <w:tr>
        <w:tblPrEx>
          <w:tblW w:w="0" w:type="dxa"/>
          <w:tblCellSpacing w:w="0" w:type="dxa"/>
          <w:tblInd w:w="16" w:type="dxa"/>
          <w:tblCellMar>
            <w:top w:w="0" w:type="dxa"/>
            <w:left w:w="0" w:type="dxa"/>
            <w:bottom w:w="0" w:type="dxa"/>
            <w:right w:w="0" w:type="dxa"/>
          </w:tblCellMar>
        </w:tblPrEx>
        <w:trPr>
          <w:tblCellSpacing w:w="0" w:type="dxa"/>
        </w:trPr>
        <w:tc>
          <w:tcPr>
            <w:tcBorders>
              <w:top w:val="inset" w:sz="6" w:space="0" w:color="808080"/>
              <w:left w:val="inset" w:sz="6" w:space="0" w:color="808080"/>
              <w:bottom w:val="inset" w:sz="6" w:space="0" w:color="808080"/>
              <w:right w:val="inset" w:sz="6" w:space="0" w:color="808080"/>
            </w:tcBorders>
            <w:noWrap w:val="0"/>
            <w:tcMar>
              <w:top w:w="8" w:type="dxa"/>
              <w:left w:w="8" w:type="dxa"/>
              <w:bottom w:w="8" w:type="dxa"/>
              <w:right w:w="8" w:type="dxa"/>
            </w:tcMar>
            <w:vAlign w:val="top"/>
          </w:tcPr>
          <w:p>
            <w:pPr>
              <w:rPr>
                <w:b w:val="0"/>
                <w:bCs w:val="0"/>
                <w:i w:val="0"/>
                <w:iCs w:val="0"/>
                <w:smallCaps w:val="0"/>
                <w:color w:val="000000"/>
              </w:rPr>
            </w:pPr>
            <w:r>
              <w:rPr>
                <w:b w:val="0"/>
                <w:bCs w:val="0"/>
                <w:i w:val="0"/>
                <w:iCs w:val="0"/>
                <w:smallCaps w:val="0"/>
                <w:color w:val="000000"/>
              </w:rPr>
              <w:t>一樓及三樓置物櫃</w:t>
            </w:r>
          </w:p>
        </w:tc>
        <w:tc>
          <w:tcPr>
            <w:tcW w:w="7545" w:type="dxa"/>
            <w:tcBorders>
              <w:top w:val="inset" w:sz="6" w:space="0" w:color="808080"/>
              <w:left w:val="inset" w:sz="6" w:space="0" w:color="808080"/>
              <w:bottom w:val="inset" w:sz="6" w:space="0" w:color="808080"/>
              <w:right w:val="inset" w:sz="6" w:space="0" w:color="808080"/>
            </w:tcBorders>
            <w:noWrap w:val="0"/>
            <w:tcMar>
              <w:top w:w="8" w:type="dxa"/>
              <w:left w:w="8" w:type="dxa"/>
              <w:bottom w:w="8" w:type="dxa"/>
              <w:right w:w="8" w:type="dxa"/>
            </w:tcMar>
            <w:vAlign w:val="top"/>
          </w:tcPr>
          <w:p>
            <w:pPr>
              <w:rPr>
                <w:b w:val="0"/>
                <w:bCs w:val="0"/>
                <w:i w:val="0"/>
                <w:iCs w:val="0"/>
                <w:smallCaps w:val="0"/>
                <w:color w:val="000000"/>
              </w:rPr>
            </w:pPr>
            <w:r>
              <w:rPr>
                <w:b w:val="0"/>
                <w:bCs w:val="0"/>
                <w:i w:val="0"/>
                <w:iCs w:val="0"/>
                <w:smallCaps w:val="0"/>
                <w:color w:val="000000"/>
              </w:rPr>
              <w:t>自11/30起暫停使用, 仍在租約期使用者請與一樓櫃台聯繫後續事宜</w:t>
            </w:r>
          </w:p>
        </w:tc>
      </w:tr>
      <w:tr>
        <w:tblPrEx>
          <w:tblW w:w="0" w:type="dxa"/>
          <w:tblCellSpacing w:w="0" w:type="dxa"/>
          <w:tblInd w:w="16" w:type="dxa"/>
          <w:tblCellMar>
            <w:top w:w="0" w:type="dxa"/>
            <w:left w:w="0" w:type="dxa"/>
            <w:bottom w:w="0" w:type="dxa"/>
            <w:right w:w="0" w:type="dxa"/>
          </w:tblCellMar>
        </w:tblPrEx>
        <w:trPr>
          <w:tblCellSpacing w:w="0" w:type="dxa"/>
        </w:trPr>
        <w:tc>
          <w:tcPr>
            <w:tcBorders>
              <w:top w:val="inset" w:sz="6" w:space="0" w:color="808080"/>
              <w:left w:val="inset" w:sz="6" w:space="0" w:color="808080"/>
              <w:bottom w:val="inset" w:sz="6" w:space="0" w:color="808080"/>
              <w:right w:val="inset" w:sz="6" w:space="0" w:color="808080"/>
            </w:tcBorders>
            <w:noWrap w:val="0"/>
            <w:tcMar>
              <w:top w:w="8" w:type="dxa"/>
              <w:left w:w="8" w:type="dxa"/>
              <w:bottom w:w="8" w:type="dxa"/>
              <w:right w:w="8" w:type="dxa"/>
            </w:tcMar>
            <w:vAlign w:val="top"/>
          </w:tcPr>
          <w:p>
            <w:pPr>
              <w:rPr>
                <w:b w:val="0"/>
                <w:bCs w:val="0"/>
                <w:i w:val="0"/>
                <w:iCs w:val="0"/>
                <w:smallCaps w:val="0"/>
                <w:color w:val="000000"/>
              </w:rPr>
            </w:pPr>
            <w:r>
              <w:rPr>
                <w:b w:val="0"/>
                <w:bCs w:val="0"/>
                <w:i w:val="0"/>
                <w:iCs w:val="0"/>
                <w:smallCaps w:val="0"/>
                <w:color w:val="000000"/>
              </w:rPr>
              <w:t>電梯</w:t>
            </w:r>
          </w:p>
        </w:tc>
        <w:tc>
          <w:tcPr>
            <w:tcW w:w="7545" w:type="dxa"/>
            <w:tcBorders>
              <w:top w:val="inset" w:sz="6" w:space="0" w:color="808080"/>
              <w:left w:val="inset" w:sz="6" w:space="0" w:color="808080"/>
              <w:bottom w:val="inset" w:sz="6" w:space="0" w:color="808080"/>
              <w:right w:val="inset" w:sz="6" w:space="0" w:color="808080"/>
            </w:tcBorders>
            <w:noWrap w:val="0"/>
            <w:tcMar>
              <w:top w:w="8" w:type="dxa"/>
              <w:left w:w="8" w:type="dxa"/>
              <w:bottom w:w="8" w:type="dxa"/>
              <w:right w:w="8" w:type="dxa"/>
            </w:tcMar>
            <w:vAlign w:val="top"/>
          </w:tcPr>
          <w:p>
            <w:pPr>
              <w:rPr>
                <w:b w:val="0"/>
                <w:bCs w:val="0"/>
                <w:i w:val="0"/>
                <w:iCs w:val="0"/>
                <w:smallCaps w:val="0"/>
                <w:color w:val="000000"/>
              </w:rPr>
            </w:pPr>
            <w:r>
              <w:rPr>
                <w:b w:val="0"/>
                <w:bCs w:val="0"/>
                <w:i w:val="0"/>
                <w:iCs w:val="0"/>
                <w:smallCaps w:val="0"/>
                <w:color w:val="000000"/>
              </w:rPr>
              <w:t>請利用東側電梯通行,或改走安全通道以節省等待時間</w:t>
            </w:r>
          </w:p>
        </w:tc>
      </w:tr>
    </w:tbl>
    <w:p>
      <w:pPr>
        <w:spacing w:before="240" w:after="240"/>
        <w:jc w:val="right"/>
      </w:pPr>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1" w:name="3"/>
      <w:r>
        <w:rPr>
          <w:rFonts w:ascii="Times New Roman" w:eastAsia="Times New Roman" w:hAnsi="Times New Roman" w:cs="Times New Roman"/>
          <w:i w:val="0"/>
          <w:iCs w:val="0"/>
        </w:rPr>
        <w:t>2019師大閱讀節：莫「明」奇妙</w:t>
      </w:r>
    </w:p>
    <w:p/>
    <w:p>
      <w:pPr>
        <w:spacing w:before="240" w:after="240"/>
        <w:jc w:val="right"/>
      </w:pPr>
      <w:r>
        <w:t>推廣諮詢組</w:t>
      </w:r>
    </w:p>
    <w:p>
      <w:pPr>
        <w:spacing w:before="240" w:after="240"/>
      </w:pPr>
      <w:r>
        <w:t>今年閱讀節配合「明槧寶光─師大館藏明代善本古籍特展」，以明朝為主題於11/27(三)至12/15(日)舉辦閱讀節，讓讀者在古色古香的背景脈絡中，解開一道道閱讀任務，完成任務後即可得到點數，集滿4點可兌換主題限定小禮，集滿6點還可以參加抽獎，獎品包括小米手環、藍牙喇叭、藍芽耳機、無線行動電源等豐富好禮，歡迎踴躍參加。</w:t>
      </w:r>
    </w:p>
    <w:p>
      <w:pPr>
        <w:spacing w:before="240" w:after="240"/>
      </w:pPr>
      <w:r>
        <w:t> </w:t>
      </w:r>
    </w:p>
    <w:p>
      <w:pPr>
        <w:spacing w:before="240" w:after="240"/>
        <w:jc w:val="right"/>
      </w:pPr>
      <w:bookmarkEnd w:id="1"/>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2" w:name="4"/>
      <w:r>
        <w:rPr>
          <w:rFonts w:ascii="Times New Roman" w:eastAsia="Times New Roman" w:hAnsi="Times New Roman" w:cs="Times New Roman"/>
          <w:i w:val="0"/>
          <w:iCs w:val="0"/>
        </w:rPr>
        <w:t>明朝不e樣：電子書推廣活動</w:t>
      </w:r>
    </w:p>
    <w:p/>
    <w:p>
      <w:pPr>
        <w:spacing w:before="240" w:after="240"/>
        <w:jc w:val="right"/>
      </w:pPr>
      <w:r>
        <w:t>推廣諮詢組</w:t>
      </w:r>
    </w:p>
    <w:p>
      <w:pPr>
        <w:spacing w:before="240" w:after="240"/>
      </w:pPr>
      <w:r>
        <w:t>活動時間：108年11月20日至12月10日</w:t>
      </w:r>
    </w:p>
    <w:p>
      <w:pPr>
        <w:spacing w:before="240" w:after="240"/>
      </w:pPr>
      <w:r>
        <w:t>活動地點：臺師大文薈廳及Facebook</w:t>
      </w:r>
    </w:p>
    <w:p>
      <w:pPr>
        <w:spacing w:before="240" w:after="240"/>
      </w:pPr>
      <w:r>
        <w:t>參加對象：臺師大教職員工生</w:t>
      </w:r>
    </w:p>
    <w:p>
      <w:pPr>
        <w:spacing w:before="240" w:after="240"/>
      </w:pPr>
      <w:r>
        <w:t> </w:t>
      </w:r>
    </w:p>
    <w:p>
      <w:pPr>
        <w:spacing w:before="240" w:after="240"/>
      </w:pPr>
      <w:r>
        <w:t>活動方式：</w:t>
      </w:r>
    </w:p>
    <w:p>
      <w:pPr>
        <w:spacing w:before="240" w:after="240"/>
      </w:pPr>
      <w:r>
        <w:rPr>
          <w:b/>
          <w:bCs/>
        </w:rPr>
        <w:t>以下活動參加2項即可參與電子書活動抽獎</w:t>
      </w:r>
    </w:p>
    <w:p>
      <w:pPr>
        <w:spacing w:before="240" w:after="240"/>
      </w:pPr>
      <w:r>
        <w:rPr>
          <w:b/>
          <w:bCs/>
        </w:rPr>
        <w:t> </w:t>
      </w:r>
    </w:p>
    <w:p>
      <w:pPr>
        <w:spacing w:before="240" w:after="240"/>
      </w:pPr>
      <w:r>
        <w:rPr>
          <w:b/>
          <w:bCs/>
        </w:rPr>
        <w:t>Ebook</w:t>
      </w:r>
      <w:r>
        <w:rPr>
          <w:b/>
          <w:bCs/>
        </w:rPr>
        <w:t>分享</w:t>
      </w:r>
    </w:p>
    <w:p>
      <w:pPr>
        <w:spacing w:before="240" w:after="240"/>
      </w:pPr>
      <w:r>
        <w:t>請以「歷史」或「明朝」為主題，推薦喜愛的一本電子書，寫下書名並擷取該電子書畫面，於圖書館Facebook貼文留言分享，即可獲得1點及實用小禮物1份。</w:t>
      </w:r>
    </w:p>
    <w:p>
      <w:pPr>
        <w:spacing w:before="240" w:after="240"/>
      </w:pPr>
      <w:r>
        <w:t> </w:t>
      </w:r>
    </w:p>
    <w:p>
      <w:pPr>
        <w:spacing w:before="240" w:after="240"/>
      </w:pPr>
      <w:r>
        <w:rPr>
          <w:b/>
          <w:bCs/>
        </w:rPr>
        <w:t>借閱電子書</w:t>
      </w:r>
    </w:p>
    <w:p>
      <w:pPr>
        <w:spacing w:before="240" w:after="240"/>
      </w:pPr>
      <w:r>
        <w:t>至圖書館二樓櫃檯出示電子書的借閱證明，即可獲得1點。</w:t>
      </w:r>
    </w:p>
    <w:p>
      <w:pPr>
        <w:spacing w:before="240" w:after="240"/>
      </w:pPr>
      <w:r>
        <w:t>借閱方式：</w:t>
      </w:r>
    </w:p>
    <w:p>
      <w:pPr>
        <w:spacing w:before="240" w:after="240"/>
      </w:pPr>
      <w:r>
        <w:t>1. 借閱活動現場的電子書。</w:t>
      </w:r>
    </w:p>
    <w:p>
      <w:pPr>
        <w:spacing w:before="240" w:after="240"/>
      </w:pPr>
      <w:r>
        <w:t>2. 利用圖書館首頁「期刊/電子書資源」功能(e起查)，借閱任何一本電子書。</w:t>
      </w:r>
    </w:p>
    <w:p>
      <w:pPr>
        <w:spacing w:before="240" w:after="240"/>
      </w:pPr>
      <w:r>
        <w:t>3. 利用館內電子書展示機借閱電子書。</w:t>
      </w:r>
    </w:p>
    <w:p>
      <w:pPr>
        <w:spacing w:before="240" w:after="240"/>
      </w:pPr>
      <w:r>
        <w:t> </w:t>
      </w:r>
    </w:p>
    <w:p>
      <w:pPr>
        <w:spacing w:before="240" w:after="240"/>
      </w:pPr>
      <w:r>
        <w:rPr>
          <w:b/>
          <w:bCs/>
        </w:rPr>
        <w:t xml:space="preserve">充電市集闖關活動 </w:t>
      </w:r>
      <w:r>
        <w:t>11/27(三)中午12:00-14:00</w:t>
      </w:r>
    </w:p>
    <w:p>
      <w:pPr>
        <w:spacing w:before="240" w:after="240"/>
      </w:pPr>
      <w:r>
        <w:t>邀請三家電子書廠商於文薈廳擺攤，指導讀者使用電子書，以及如何利用行動裝置借閱電子書等。現場同時設置活動關卡，完成活動者可獲得1點及精美小禮物1份。</w:t>
      </w:r>
    </w:p>
    <w:p>
      <w:pPr>
        <w:spacing w:before="240" w:after="240"/>
      </w:pPr>
      <w:r>
        <w:t> </w:t>
      </w:r>
    </w:p>
    <w:p>
      <w:pPr>
        <w:spacing w:before="240" w:after="240"/>
      </w:pPr>
      <w:r>
        <w:rPr>
          <w:b/>
          <w:bCs/>
        </w:rPr>
        <w:t>好康加碼送</w:t>
      </w:r>
    </w:p>
    <w:p>
      <w:pPr>
        <w:spacing w:before="240" w:after="240"/>
      </w:pPr>
      <w:r>
        <w:t>本活動共可累積2019臺師大閱讀節活動計3點, 若與其他活動一起累積達6點，還可參加閱讀節活動總抽獎。</w:t>
      </w:r>
    </w:p>
    <w:p>
      <w:pPr>
        <w:spacing w:before="240" w:after="240"/>
        <w:jc w:val="right"/>
      </w:pPr>
      <w:bookmarkEnd w:id="2"/>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3" w:name="5"/>
      <w:r>
        <w:rPr>
          <w:rFonts w:ascii="Times New Roman" w:eastAsia="Times New Roman" w:hAnsi="Times New Roman" w:cs="Times New Roman"/>
          <w:i w:val="0"/>
          <w:iCs w:val="0"/>
        </w:rPr>
        <w:t>明槧寶光─師大館藏明代善本古籍特展暨明代文獻學學術研討會</w:t>
      </w:r>
    </w:p>
    <w:p/>
    <w:p>
      <w:pPr>
        <w:spacing w:before="240" w:after="240"/>
        <w:jc w:val="right"/>
      </w:pPr>
      <w:r>
        <w:t>校史特藏組</w:t>
      </w:r>
    </w:p>
    <w:p>
      <w:pPr>
        <w:spacing w:before="240" w:after="240"/>
      </w:pPr>
      <w:r>
        <w:t>古籍對現代人而言是久遠陌生的存在，卻是先人生活中不可或缺的一部分，承載著厚重的文化底蘊與生活雅趣。本校圖書館典藏古籍線裝書包括1949年教育部撥存之東北大學藏書，及陸續受贈或收購之陳誠（1897-1965）故副總統等私人藏書等共二萬餘冊，其中明版書百廿餘部，雖不謂豐，然珍稀佳槧仍於其中，既可資考鏡中國傳統學術源流，亦能完善一典籍之版本資訊，紙葉上的題記、鈐印更彰顯一書之遞藏流傳，於古典文獻資源保存與版本目錄學術研究方面，具實質意義。</w:t>
      </w:r>
    </w:p>
    <w:p>
      <w:pPr>
        <w:spacing w:before="240" w:after="240"/>
      </w:pPr>
      <w:r>
        <w:t>本次圖書館年度善本古籍特展以「明槧寶光」為題展出館藏明代善本，包含「珍稀佳槧．傳布為藏」、「藏家手澤．遞藏有序」、「名家寫刊．化身千百」、「朱墨燦然．套印之美」四子題，展示館蔵精選明代善本18部，其中包括臺灣罕見版本、名家刊刻本及藏家手書題跋本，皆彌足珍貴。展期首日將與國文學系合辦「明代文獻學學術研討會」，於12月2日上午9時開幕，盼能提升本館特藏古籍能見度，展現本校特藏能量，並邀集各世代學者專家，發表研究成果，進行學術交流，將有助於推廣國家重要文物資產，激發研究風氣，傳承優良傳統學術，延續古典文獻亙古不滅的智慧之光，歡迎各界蒞臨參與。</w:t>
      </w:r>
    </w:p>
    <w:p>
      <w:pPr>
        <w:spacing w:before="240" w:after="240"/>
        <w:jc w:val="right"/>
      </w:pPr>
      <w:bookmarkEnd w:id="3"/>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4" w:name="6"/>
      <w:r>
        <w:rPr>
          <w:rFonts w:ascii="Times New Roman" w:eastAsia="Times New Roman" w:hAnsi="Times New Roman" w:cs="Times New Roman"/>
          <w:i w:val="0"/>
          <w:iCs w:val="0"/>
        </w:rPr>
        <w:t>新書上架：盧炎音樂檔案</w:t>
      </w:r>
    </w:p>
    <w:p/>
    <w:p>
      <w:pPr>
        <w:spacing w:before="240" w:after="240"/>
        <w:jc w:val="right"/>
      </w:pPr>
      <w:r>
        <w:t>出版中心</w:t>
      </w:r>
    </w:p>
    <w:p>
      <w:pPr>
        <w:spacing w:before="240" w:after="240"/>
      </w:pPr>
      <w:r>
        <w:t>作曲家盧炎是臺灣近代音樂歷史上最具代表性的人物之一，也是國立臺灣師範大學音樂系系友，他以音樂創作為一生的志業，寫下近百首作品。2008年辭世後，其手稿與資料在多位學者專家的協助下，已整理成冊，包括：105份作品手稿以及創作片段與素材、樂曲分析等若干、文字手稿、與家人親友之書信、親手繪製漫畫、照片、節目單、剪報、印刷資料與盤式錄音帶等這些文獻均是音樂創作研究與檔案典藏的第一手珍貴史料。</w:t>
      </w:r>
    </w:p>
    <w:p>
      <w:pPr>
        <w:spacing w:before="240" w:after="240"/>
      </w:pPr>
      <w:r>
        <w:t>2010年8月，盧炎遺孀程女士委託國立臺灣師範大學音樂數位典藏中心，將盧炎所有資料以現行國際通行標準進行整理、保存與數位化工作，並撰述《盧炎音樂檔案》檢索工具，將檔案內容完全呈現於世人面前。</w:t>
      </w:r>
    </w:p>
    <w:p>
      <w:pPr>
        <w:spacing w:before="240" w:after="240"/>
        <w:jc w:val="right"/>
      </w:pPr>
      <w:bookmarkEnd w:id="4"/>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5" w:name="7"/>
      <w:r>
        <w:rPr>
          <w:rFonts w:ascii="Times New Roman" w:eastAsia="Times New Roman" w:hAnsi="Times New Roman" w:cs="Times New Roman"/>
          <w:i w:val="0"/>
          <w:iCs w:val="0"/>
        </w:rPr>
        <w:t>師大話茶禮盒</w:t>
      </w:r>
    </w:p>
    <w:p/>
    <w:p>
      <w:pPr>
        <w:spacing w:before="240" w:after="240"/>
        <w:jc w:val="right"/>
      </w:pPr>
      <w:r>
        <w:t>出版中心</w:t>
      </w:r>
    </w:p>
    <w:p>
      <w:pPr>
        <w:spacing w:before="240" w:after="240"/>
      </w:pPr>
      <w:r>
        <w:t>臺師大嚴選—高山烏龍，產自南投杉林溪，其葉青嫩翠綠，由茶農辛勤採摘，再經曬、晾、炒、揉、揀等多日繁複工序，製為半球體乾葉。每顆綠珠不僅是茶球，更包裹著製茶者的辛勞及期望。小小綠珠於沸水中舒展葉身，幻化出千縷金絲在水中逐漸蔓延，茶葉得以再次甦醒，直至熱水渲染成金黃方止。此時的烏龍茶湯晶瑩透底，口感甘醇溫潤而不帶苦澀，撲鼻淡香消然於空氣中，於凜冽冬日中輕啜一口，便可驅寒暖心。臺師大為您獻上茗茶，願您與兩三好友，共品四五盞茶，暢談六七時光，不虛度八九十載人生！</w:t>
      </w:r>
    </w:p>
    <w:p>
      <w:pPr>
        <w:spacing w:before="240" w:after="240"/>
        <w:jc w:val="right"/>
      </w:pPr>
      <w:bookmarkEnd w:id="5"/>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6" w:name="8"/>
      <w:r>
        <w:rPr>
          <w:rFonts w:ascii="Times New Roman" w:eastAsia="Times New Roman" w:hAnsi="Times New Roman" w:cs="Times New Roman"/>
          <w:i w:val="0"/>
          <w:iCs w:val="0"/>
        </w:rPr>
        <w:t>【林口分館】「英語攻略─學習方法傳授講座」活動報導</w:t>
      </w:r>
    </w:p>
    <w:p/>
    <w:p>
      <w:pPr>
        <w:spacing w:before="240" w:after="240"/>
        <w:jc w:val="right"/>
      </w:pPr>
      <w:r>
        <w:t>林口分館</w:t>
      </w:r>
    </w:p>
    <w:p>
      <w:pPr>
        <w:spacing w:before="240" w:after="240"/>
      </w:pPr>
      <w:r>
        <w:t>鑒於同儕學習效果往往大於課堂教學，林口分館這次與英語教師合作，請老師推薦英文成績、口語表達能力特別優秀的同學，與大家分享課堂外增強英語功力祕技。</w:t>
      </w:r>
    </w:p>
    <w:p>
      <w:pPr>
        <w:spacing w:before="240" w:after="240"/>
      </w:pPr>
      <w:r>
        <w:t> </w:t>
      </w:r>
    </w:p>
    <w:p>
      <w:pPr>
        <w:spacing w:before="240" w:after="240"/>
      </w:pPr>
      <w:r>
        <w:t>三位同學分享的重點各不相同：利用看電影提高自己英語能力的同學，分享如何挑選電影還有怎麼經由一次次觀賞電影逐步提升自己的聽力與字彙；另一位同學則介紹大家”學老外講話，錄下自己的聲音然後不斷調整”；最後一位同學全方位分享他用來增加自己的口語、字彙與文法的各種方法，還有最重要的：遇到外國人”不要怕”。</w:t>
      </w:r>
    </w:p>
    <w:p>
      <w:pPr>
        <w:spacing w:before="240" w:after="240"/>
      </w:pPr>
      <w:r>
        <w:t> </w:t>
      </w:r>
    </w:p>
    <w:p>
      <w:pPr>
        <w:spacing w:before="240" w:after="240"/>
      </w:pPr>
      <w:r>
        <w:t>分享同學傾囊相授自己的英語學習祕訣，參加同學認真傾聽。活動很成功。也希望參加同學回去就要開始著手增加自己的英語能力囉~</w:t>
      </w:r>
    </w:p>
    <w:p>
      <w:pPr>
        <w:spacing w:before="240" w:after="240"/>
        <w:jc w:val="right"/>
      </w:pPr>
      <w:bookmarkEnd w:id="6"/>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sectPr>
      <w:pgMar w:header="708" w:footer="708"/>
      <w:cols w:space="708"/>
    </w:sectPr>
  </w:body>
</w:document>
</file>

<file path=word/fontTable.xml><?xml version="1.0" encoding="utf-8"?>
<w:fonts xmlns:r="http://schemas.openxmlformats.org/officeDocument/2006/relationships" xmlns:w="http://schemas.openxmlformats.org/wordprocessingml/2006/main"/>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hybridMultilevel"/>
    <w:tmpl w:val="00000001"/>
    <w:lvl w:ilvl="0">
      <w:start w:val="1"/>
      <w:numFmt w:val="bullet"/>
      <w:lvlText w:val=""/>
      <w:lvlJc w:val="left"/>
      <w:pPr>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00"/>
  <w:defaultTabStop w:val="720"/>
  <w:noPunctuationKerning/>
  <w:characterSpacingControl w:val="doNotCompress"/>
  <w:compat/>
  <w:rsids>
    <w:rsidRoot w:val="00000000"/>
  </w:rsids>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5BCE"/>
    <w:rPr>
      <w:sz w:val="24"/>
      <w:szCs w:val="24"/>
    </w:rPr>
  </w:style>
  <w:style w:type="paragraph" w:styleId="Heading1">
    <w:name w:val="heading 1"/>
    <w:basedOn w:val="Normal"/>
    <w:next w:val="Normal"/>
    <w:qFormat/>
    <w:rsid w:val="00EF7B96"/>
    <w:pPr>
      <w:keepNext/>
      <w:spacing w:before="240" w:after="60"/>
      <w:outlineLvl w:val="0"/>
    </w:pPr>
    <w:rPr>
      <w:rFonts w:ascii="Times New Roman" w:eastAsia="Times New Roman" w:hAnsi="Times New Roman" w:cs="Times New Roman"/>
      <w:b/>
      <w:bCs/>
      <w:i w:val="0"/>
      <w:kern w:val="36"/>
      <w:sz w:val="48"/>
      <w:szCs w:val="48"/>
    </w:rPr>
  </w:style>
  <w:style w:type="paragraph" w:styleId="Heading2">
    <w:name w:val="heading 2"/>
    <w:basedOn w:val="Normal"/>
    <w:next w:val="Normal"/>
    <w:qFormat/>
    <w:rsid w:val="00EF7B96"/>
    <w:pPr>
      <w:keepNext/>
      <w:spacing w:before="240" w:after="60"/>
      <w:outlineLvl w:val="1"/>
    </w:pPr>
    <w:rPr>
      <w:rFonts w:ascii="Times New Roman" w:eastAsia="Times New Roman" w:hAnsi="Times New Roman" w:cs="Times New Roman"/>
      <w:b/>
      <w:bCs/>
      <w:i w:val="0"/>
      <w:iCs/>
      <w:sz w:val="36"/>
      <w:szCs w:val="36"/>
    </w:rPr>
  </w:style>
  <w:style w:type="paragraph" w:styleId="Heading3">
    <w:name w:val="heading 3"/>
    <w:basedOn w:val="Normal"/>
    <w:next w:val="Normal"/>
    <w:qFormat/>
    <w:rsid w:val="00EF7B96"/>
    <w:pPr>
      <w:keepNext/>
      <w:spacing w:before="240" w:after="60"/>
      <w:outlineLvl w:val="2"/>
    </w:pPr>
    <w:rPr>
      <w:rFonts w:ascii="Times New Roman" w:eastAsia="Times New Roman" w:hAnsi="Times New Roman" w:cs="Times New Roman"/>
      <w:b/>
      <w:bCs/>
      <w:i w:val="0"/>
      <w:sz w:val="28"/>
      <w:szCs w:val="28"/>
    </w:rPr>
  </w:style>
  <w:style w:type="paragraph" w:styleId="Heading4">
    <w:name w:val="heading 4"/>
    <w:basedOn w:val="Normal"/>
    <w:next w:val="Normal"/>
    <w:qFormat/>
    <w:rsid w:val="00EF7B96"/>
    <w:pPr>
      <w:keepNext/>
      <w:spacing w:before="240" w:after="60"/>
      <w:outlineLvl w:val="3"/>
    </w:pPr>
    <w:rPr>
      <w:rFonts w:ascii="Times New Roman" w:eastAsia="Times New Roman" w:hAnsi="Times New Roman" w:cs="Times New Roman"/>
      <w:b/>
      <w:bCs/>
      <w:i w:val="0"/>
      <w:sz w:val="24"/>
      <w:szCs w:val="24"/>
    </w:rPr>
  </w:style>
  <w:style w:type="paragraph" w:styleId="Heading5">
    <w:name w:val="heading 5"/>
    <w:basedOn w:val="Normal"/>
    <w:next w:val="Normal"/>
    <w:qFormat/>
    <w:rsid w:val="00EF7B96"/>
    <w:pPr>
      <w:spacing w:before="240" w:after="60"/>
      <w:outlineLvl w:val="4"/>
    </w:pPr>
    <w:rPr>
      <w:rFonts w:ascii="Times New Roman" w:eastAsia="Times New Roman" w:hAnsi="Times New Roman" w:cs="Times New Roman"/>
      <w:b/>
      <w:bCs/>
      <w:i w:val="0"/>
      <w:iCs/>
      <w:sz w:val="20"/>
      <w:szCs w:val="20"/>
    </w:rPr>
  </w:style>
  <w:style w:type="paragraph" w:styleId="Heading6">
    <w:name w:val="heading 6"/>
    <w:basedOn w:val="Normal"/>
    <w:next w:val="Normal"/>
    <w:qFormat/>
    <w:rsid w:val="00EF7B96"/>
    <w:pPr>
      <w:spacing w:before="240" w:after="60"/>
      <w:outlineLvl w:val="5"/>
    </w:pPr>
    <w:rPr>
      <w:rFonts w:ascii="Times New Roman" w:eastAsia="Times New Roman" w:hAnsi="Times New Roman" w:cs="Times New Roman"/>
      <w:b/>
      <w:bCs/>
      <w:i w:val="0"/>
      <w:sz w:val="16"/>
      <w:szCs w:val="16"/>
    </w:rPr>
  </w:style>
  <w:style w:type="character" w:default="1" w:styleId="DefaultParagraphFont">
    <w:name w:val="Default Paragraph Font"/>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numbering" Target="numbering.xml" /><Relationship Id="rId5" Type="http://schemas.openxmlformats.org/officeDocument/2006/relationships/styles" Target="styles.xml" /></Relationships>
</file>

<file path=docProps/app.xml><?xml version="1.0" encoding="utf-8"?>
<Properties xmlns="http://schemas.openxmlformats.org/officeDocument/2006/extended-properties" xmlns:vt="http://schemas.openxmlformats.org/officeDocument/2006/docPropsVTypes">
  <TotalTime>0</TotalTime>
  <Pages>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國立臺灣師範大學圖書館電子報系統</dc:title>
  <cp:revision>0</cp:revision>
</cp:coreProperties>
</file>